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42" w:rsidRPr="00053242" w:rsidRDefault="00053242" w:rsidP="00053242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053242">
        <w:rPr>
          <w:rFonts w:ascii="Arial" w:hAnsi="Arial" w:cs="Arial"/>
          <w:noProof/>
        </w:rPr>
        <w:t>Sar, T., B. C. Stark, and M. Y. Akbas, “</w:t>
      </w:r>
      <w:r w:rsidRPr="00053242">
        <w:rPr>
          <w:rFonts w:ascii="Arial" w:hAnsi="Arial" w:cs="Arial"/>
          <w:shd w:val="clear" w:color="auto" w:fill="FFFFFF"/>
        </w:rPr>
        <w:t xml:space="preserve">Effective ethanol production from whey powder through immobilized </w:t>
      </w:r>
      <w:r w:rsidRPr="00053242">
        <w:rPr>
          <w:rFonts w:ascii="Arial" w:hAnsi="Arial" w:cs="Arial"/>
          <w:i/>
          <w:shd w:val="clear" w:color="auto" w:fill="FFFFFF"/>
        </w:rPr>
        <w:t>E. coli</w:t>
      </w:r>
      <w:r w:rsidRPr="00053242">
        <w:rPr>
          <w:rFonts w:ascii="Arial" w:hAnsi="Arial" w:cs="Arial"/>
          <w:shd w:val="clear" w:color="auto" w:fill="FFFFFF"/>
        </w:rPr>
        <w:t xml:space="preserve"> expressing </w:t>
      </w:r>
      <w:proofErr w:type="spellStart"/>
      <w:r w:rsidRPr="00053242">
        <w:rPr>
          <w:rFonts w:ascii="Arial" w:hAnsi="Arial" w:cs="Arial"/>
          <w:i/>
          <w:shd w:val="clear" w:color="auto" w:fill="FFFFFF"/>
        </w:rPr>
        <w:t>Vitreoscilla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 hemoglobin," Bioengineered </w:t>
      </w:r>
      <w:hyperlink r:id="rId4" w:history="1">
        <w:r w:rsidRPr="006462C1">
          <w:rPr>
            <w:rStyle w:val="Hyperlink"/>
            <w:rFonts w:ascii="Arial" w:hAnsi="Arial" w:cs="Arial"/>
            <w:color w:val="auto"/>
            <w:u w:val="none"/>
          </w:rPr>
          <w:t>8:171-181</w:t>
        </w:r>
      </w:hyperlink>
      <w:r w:rsidRPr="00053242">
        <w:rPr>
          <w:rFonts w:ascii="Arial" w:hAnsi="Arial" w:cs="Arial"/>
        </w:rPr>
        <w:t xml:space="preserve"> </w:t>
      </w:r>
      <w:r w:rsidRPr="00053242">
        <w:rPr>
          <w:rFonts w:ascii="Arial" w:hAnsi="Arial" w:cs="Arial"/>
          <w:shd w:val="clear" w:color="auto" w:fill="FFFFFF"/>
        </w:rPr>
        <w:t>(2017).</w:t>
      </w:r>
    </w:p>
    <w:p w:rsidR="00053242" w:rsidRPr="00053242" w:rsidRDefault="00053242" w:rsidP="00053242">
      <w:pPr>
        <w:rPr>
          <w:rFonts w:ascii="Arial" w:hAnsi="Arial" w:cs="Arial"/>
          <w:shd w:val="clear" w:color="auto" w:fill="FFFFFF"/>
        </w:rPr>
      </w:pPr>
    </w:p>
    <w:p w:rsidR="00053242" w:rsidRPr="00053242" w:rsidRDefault="00053242" w:rsidP="00053242">
      <w:r w:rsidRPr="00053242">
        <w:rPr>
          <w:rFonts w:ascii="Arial" w:hAnsi="Arial" w:cs="Arial"/>
        </w:rPr>
        <w:t xml:space="preserve">Wang, J., R. R. Butler III, F. Wu, J.-F. </w:t>
      </w:r>
      <w:proofErr w:type="spellStart"/>
      <w:r w:rsidRPr="00053242">
        <w:rPr>
          <w:rFonts w:ascii="Arial" w:hAnsi="Arial" w:cs="Arial"/>
        </w:rPr>
        <w:t>Pombert</w:t>
      </w:r>
      <w:proofErr w:type="spellEnd"/>
      <w:r w:rsidRPr="00053242">
        <w:rPr>
          <w:rFonts w:ascii="Arial" w:hAnsi="Arial" w:cs="Arial"/>
        </w:rPr>
        <w:t xml:space="preserve">, J. J. </w:t>
      </w:r>
      <w:proofErr w:type="spellStart"/>
      <w:r w:rsidRPr="00053242">
        <w:rPr>
          <w:rFonts w:ascii="Arial" w:hAnsi="Arial" w:cs="Arial"/>
        </w:rPr>
        <w:t>Kilbane</w:t>
      </w:r>
      <w:proofErr w:type="spellEnd"/>
      <w:r w:rsidRPr="00053242">
        <w:rPr>
          <w:rFonts w:ascii="Arial" w:hAnsi="Arial" w:cs="Arial"/>
        </w:rPr>
        <w:t xml:space="preserve"> II, and B. C. Stark, “</w:t>
      </w:r>
      <w:r w:rsidRPr="00053242">
        <w:t xml:space="preserve">Enhancement of Microbial </w:t>
      </w:r>
      <w:proofErr w:type="spellStart"/>
      <w:r w:rsidRPr="00053242">
        <w:t>Biodesulfurization</w:t>
      </w:r>
      <w:proofErr w:type="spellEnd"/>
      <w:r w:rsidRPr="00053242">
        <w:t xml:space="preserve"> via Genetic Engineering and Adaptive Evolution,” PLOS ONE | DOI:10.1371/journal.pone.0168833 January 6, 2017.</w:t>
      </w:r>
    </w:p>
    <w:p w:rsidR="00053242" w:rsidRPr="00053242" w:rsidRDefault="00053242" w:rsidP="00053242"/>
    <w:p w:rsidR="00053242" w:rsidRPr="00053242" w:rsidRDefault="00053242" w:rsidP="00053242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19"/>
          <w:szCs w:val="19"/>
        </w:rPr>
      </w:pPr>
      <w:r w:rsidRPr="00053242">
        <w:t xml:space="preserve">Kunkel, S. A., P. </w:t>
      </w:r>
      <w:proofErr w:type="spellStart"/>
      <w:r w:rsidRPr="00053242">
        <w:t>Azimi</w:t>
      </w:r>
      <w:proofErr w:type="spellEnd"/>
      <w:r w:rsidRPr="00053242">
        <w:t>, H. Zhao, B. C. Stark, and B. Stephens “</w:t>
      </w:r>
      <w:r w:rsidRPr="00053242">
        <w:rPr>
          <w:rFonts w:ascii="Arial" w:hAnsi="Arial" w:cs="Arial"/>
          <w:sz w:val="19"/>
          <w:szCs w:val="19"/>
        </w:rPr>
        <w:t xml:space="preserve">Quantifying the size-resolved dynamics of indoor </w:t>
      </w:r>
      <w:proofErr w:type="spellStart"/>
      <w:r w:rsidRPr="00053242">
        <w:rPr>
          <w:rFonts w:ascii="Arial" w:hAnsi="Arial" w:cs="Arial"/>
          <w:sz w:val="19"/>
          <w:szCs w:val="19"/>
        </w:rPr>
        <w:t>bioaerosol</w:t>
      </w:r>
      <w:proofErr w:type="spellEnd"/>
      <w:r w:rsidRPr="00053242">
        <w:rPr>
          <w:rFonts w:ascii="Arial" w:hAnsi="Arial" w:cs="Arial"/>
          <w:sz w:val="19"/>
          <w:szCs w:val="19"/>
        </w:rPr>
        <w:t xml:space="preserve"> transport and control,” Indoor Air</w:t>
      </w:r>
      <w:r w:rsidRPr="00053242">
        <w:rPr>
          <w:rFonts w:ascii="Arial" w:hAnsi="Arial" w:cs="Arial"/>
          <w:sz w:val="18"/>
          <w:szCs w:val="18"/>
          <w:shd w:val="clear" w:color="auto" w:fill="FFFFFF"/>
        </w:rPr>
        <w:t xml:space="preserve"> 27:977-987 (2017).</w:t>
      </w:r>
    </w:p>
    <w:p w:rsidR="00053242" w:rsidRPr="00053242" w:rsidRDefault="00053242" w:rsidP="00053242">
      <w:pPr>
        <w:shd w:val="clear" w:color="auto" w:fill="FFFFFF"/>
        <w:outlineLvl w:val="0"/>
        <w:rPr>
          <w:rFonts w:ascii="Arial" w:hAnsi="Arial" w:cs="Arial"/>
          <w:sz w:val="19"/>
          <w:szCs w:val="19"/>
        </w:rPr>
      </w:pPr>
    </w:p>
    <w:p w:rsidR="00053242" w:rsidRPr="00053242" w:rsidRDefault="00053242" w:rsidP="00053242">
      <w:pPr>
        <w:shd w:val="clear" w:color="auto" w:fill="FFFFFF"/>
        <w:outlineLvl w:val="0"/>
        <w:rPr>
          <w:rFonts w:ascii="Arial" w:hAnsi="Arial" w:cs="Arial"/>
          <w:kern w:val="36"/>
          <w:lang w:eastAsia="tr-TR"/>
        </w:rPr>
      </w:pPr>
      <w:proofErr w:type="spellStart"/>
      <w:r w:rsidRPr="00053242">
        <w:rPr>
          <w:rFonts w:ascii="Arial" w:hAnsi="Arial" w:cs="Arial"/>
          <w:sz w:val="19"/>
          <w:szCs w:val="19"/>
        </w:rPr>
        <w:t>Sar</w:t>
      </w:r>
      <w:proofErr w:type="spellEnd"/>
      <w:r w:rsidRPr="00053242">
        <w:rPr>
          <w:rFonts w:ascii="Arial" w:hAnsi="Arial" w:cs="Arial"/>
          <w:sz w:val="19"/>
          <w:szCs w:val="19"/>
        </w:rPr>
        <w:t xml:space="preserve">, T., G. </w:t>
      </w:r>
      <w:proofErr w:type="spellStart"/>
      <w:r w:rsidRPr="00053242">
        <w:rPr>
          <w:rFonts w:ascii="Arial" w:hAnsi="Arial" w:cs="Arial"/>
          <w:sz w:val="19"/>
          <w:szCs w:val="19"/>
        </w:rPr>
        <w:t>Seker</w:t>
      </w:r>
      <w:proofErr w:type="spellEnd"/>
      <w:r w:rsidRPr="00053242">
        <w:rPr>
          <w:rFonts w:ascii="Arial" w:hAnsi="Arial" w:cs="Arial"/>
          <w:sz w:val="19"/>
          <w:szCs w:val="19"/>
        </w:rPr>
        <w:t xml:space="preserve">, A. G. </w:t>
      </w:r>
      <w:proofErr w:type="spellStart"/>
      <w:r w:rsidRPr="00053242">
        <w:rPr>
          <w:rFonts w:ascii="Arial" w:hAnsi="Arial" w:cs="Arial"/>
          <w:sz w:val="19"/>
          <w:szCs w:val="19"/>
        </w:rPr>
        <w:t>Erman</w:t>
      </w:r>
      <w:proofErr w:type="spellEnd"/>
      <w:r w:rsidRPr="00053242">
        <w:rPr>
          <w:rFonts w:ascii="Arial" w:hAnsi="Arial" w:cs="Arial"/>
          <w:sz w:val="19"/>
          <w:szCs w:val="19"/>
        </w:rPr>
        <w:t xml:space="preserve">, B. C. Stark, and M. Y. </w:t>
      </w:r>
      <w:proofErr w:type="spellStart"/>
      <w:r w:rsidRPr="00053242">
        <w:rPr>
          <w:rFonts w:ascii="Arial" w:hAnsi="Arial" w:cs="Arial"/>
          <w:sz w:val="19"/>
          <w:szCs w:val="19"/>
        </w:rPr>
        <w:t>Akbas</w:t>
      </w:r>
      <w:proofErr w:type="spellEnd"/>
      <w:r w:rsidRPr="00053242">
        <w:rPr>
          <w:rFonts w:ascii="Arial" w:hAnsi="Arial" w:cs="Arial"/>
          <w:sz w:val="19"/>
          <w:szCs w:val="19"/>
        </w:rPr>
        <w:t>, “</w:t>
      </w:r>
      <w:r w:rsidRPr="00053242">
        <w:rPr>
          <w:rFonts w:ascii="Arial" w:hAnsi="Arial" w:cs="Arial"/>
          <w:kern w:val="36"/>
          <w:lang w:eastAsia="tr-TR"/>
        </w:rPr>
        <w:t xml:space="preserve">Repeated batch fermentation of immobilized </w:t>
      </w:r>
      <w:r w:rsidRPr="00053242">
        <w:rPr>
          <w:rFonts w:ascii="Arial" w:hAnsi="Arial" w:cs="Arial"/>
          <w:i/>
          <w:kern w:val="36"/>
          <w:lang w:eastAsia="tr-TR"/>
        </w:rPr>
        <w:t>E. coli</w:t>
      </w:r>
      <w:r w:rsidRPr="00053242">
        <w:rPr>
          <w:rFonts w:ascii="Arial" w:hAnsi="Arial" w:cs="Arial"/>
          <w:kern w:val="36"/>
          <w:lang w:eastAsia="tr-TR"/>
        </w:rPr>
        <w:t xml:space="preserve"> expressing</w:t>
      </w:r>
      <w:r w:rsidRPr="00053242">
        <w:rPr>
          <w:rFonts w:ascii="Arial" w:hAnsi="Arial" w:cs="Arial"/>
          <w:i/>
          <w:kern w:val="36"/>
          <w:lang w:eastAsia="tr-TR"/>
        </w:rPr>
        <w:t xml:space="preserve"> </w:t>
      </w:r>
      <w:proofErr w:type="spellStart"/>
      <w:r w:rsidRPr="00053242">
        <w:rPr>
          <w:rFonts w:ascii="Arial" w:hAnsi="Arial" w:cs="Arial"/>
          <w:i/>
          <w:kern w:val="36"/>
          <w:lang w:eastAsia="tr-TR"/>
        </w:rPr>
        <w:t>Vitreoscilla</w:t>
      </w:r>
      <w:proofErr w:type="spellEnd"/>
      <w:r w:rsidRPr="00053242">
        <w:rPr>
          <w:rFonts w:ascii="Arial" w:hAnsi="Arial" w:cs="Arial"/>
          <w:kern w:val="36"/>
          <w:lang w:eastAsia="tr-TR"/>
        </w:rPr>
        <w:t xml:space="preserve"> hemoglobin for long term use,” Bioengineered 8:651-660 (2017).</w:t>
      </w:r>
    </w:p>
    <w:p w:rsidR="00053242" w:rsidRPr="00053242" w:rsidRDefault="00053242" w:rsidP="00053242">
      <w:pPr>
        <w:shd w:val="clear" w:color="auto" w:fill="FFFFFF"/>
        <w:outlineLvl w:val="0"/>
        <w:rPr>
          <w:rFonts w:ascii="Arial" w:hAnsi="Arial" w:cs="Arial"/>
          <w:kern w:val="36"/>
          <w:lang w:eastAsia="tr-TR"/>
        </w:rPr>
      </w:pPr>
    </w:p>
    <w:p w:rsidR="00053242" w:rsidRPr="00053242" w:rsidRDefault="00053242" w:rsidP="00053242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  <w:proofErr w:type="spellStart"/>
      <w:r w:rsidRPr="00053242">
        <w:rPr>
          <w:rFonts w:ascii="Arial" w:hAnsi="Arial" w:cs="Arial"/>
          <w:shd w:val="clear" w:color="auto" w:fill="FFFFFF"/>
        </w:rPr>
        <w:t>Veseli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, I., A. C. </w:t>
      </w:r>
      <w:proofErr w:type="spellStart"/>
      <w:r w:rsidRPr="00053242">
        <w:rPr>
          <w:rFonts w:ascii="Arial" w:hAnsi="Arial" w:cs="Arial"/>
          <w:shd w:val="clear" w:color="auto" w:fill="FFFFFF"/>
        </w:rPr>
        <w:t>Mascarenhas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 dos Santos, O. </w:t>
      </w:r>
      <w:proofErr w:type="spellStart"/>
      <w:r w:rsidRPr="00053242">
        <w:rPr>
          <w:rFonts w:ascii="Arial" w:hAnsi="Arial" w:cs="Arial"/>
          <w:shd w:val="clear" w:color="auto" w:fill="FFFFFF"/>
        </w:rPr>
        <w:t>Juárez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, B. Stark, and J-F. </w:t>
      </w:r>
      <w:proofErr w:type="spellStart"/>
      <w:r w:rsidRPr="00053242">
        <w:rPr>
          <w:rFonts w:ascii="Arial" w:hAnsi="Arial" w:cs="Arial"/>
          <w:shd w:val="clear" w:color="auto" w:fill="FFFFFF"/>
        </w:rPr>
        <w:t>Pombert</w:t>
      </w:r>
      <w:proofErr w:type="spellEnd"/>
      <w:r w:rsidRPr="00053242">
        <w:rPr>
          <w:rFonts w:ascii="Arial" w:hAnsi="Arial" w:cs="Arial"/>
          <w:shd w:val="clear" w:color="auto" w:fill="FFFFFF"/>
        </w:rPr>
        <w:t>, "Complete genome of </w:t>
      </w:r>
      <w:proofErr w:type="spellStart"/>
      <w:r w:rsidRPr="00053242">
        <w:rPr>
          <w:rFonts w:ascii="Arial" w:hAnsi="Arial" w:cs="Arial"/>
          <w:i/>
          <w:iCs/>
          <w:shd w:val="clear" w:color="auto" w:fill="FFFFFF"/>
        </w:rPr>
        <w:t>Vitreoscilla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 sp. C1, source of the first bacterial hemoglobin," </w:t>
      </w:r>
      <w:proofErr w:type="spellStart"/>
      <w:r w:rsidRPr="00053242">
        <w:rPr>
          <w:rFonts w:ascii="Arial" w:hAnsi="Arial" w:cs="Arial"/>
          <w:shd w:val="clear" w:color="auto" w:fill="FFFFFF"/>
        </w:rPr>
        <w:t>Microbiol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. Resource Announcements </w:t>
      </w:r>
      <w:r w:rsidRPr="00053242">
        <w:rPr>
          <w:rFonts w:ascii="Arial" w:hAnsi="Arial" w:cs="Arial"/>
          <w:sz w:val="21"/>
          <w:szCs w:val="21"/>
        </w:rPr>
        <w:t xml:space="preserve">7(5) (2018). </w:t>
      </w:r>
      <w:r w:rsidRPr="00053242">
        <w:rPr>
          <w:rFonts w:ascii="Arial" w:hAnsi="Arial" w:cs="Arial"/>
          <w:b/>
          <w:bCs/>
          <w:sz w:val="18"/>
          <w:szCs w:val="18"/>
        </w:rPr>
        <w:t> </w:t>
      </w:r>
      <w:hyperlink r:id="rId5" w:history="1">
        <w:r w:rsidRPr="00053242">
          <w:rPr>
            <w:rFonts w:ascii="Arial" w:hAnsi="Arial" w:cs="Arial"/>
          </w:rPr>
          <w:t>https://doi.org/10.1128/MRA.00922-18</w:t>
        </w:r>
      </w:hyperlink>
    </w:p>
    <w:p w:rsidR="00053242" w:rsidRPr="00053242" w:rsidRDefault="00053242" w:rsidP="00053242">
      <w:pPr>
        <w:shd w:val="clear" w:color="auto" w:fill="FFFFFF"/>
        <w:overflowPunct/>
        <w:autoSpaceDE/>
        <w:autoSpaceDN/>
        <w:adjustRightInd/>
        <w:spacing w:before="100" w:beforeAutospacing="1" w:after="120"/>
        <w:textAlignment w:val="auto"/>
        <w:rPr>
          <w:rStyle w:val="doilink"/>
          <w:rFonts w:ascii="Arial" w:hAnsi="Arial" w:cs="Arial"/>
          <w:shd w:val="clear" w:color="auto" w:fill="FFFFFF"/>
        </w:rPr>
      </w:pPr>
      <w:proofErr w:type="spellStart"/>
      <w:r w:rsidRPr="00053242">
        <w:rPr>
          <w:rStyle w:val="authors"/>
          <w:rFonts w:ascii="Arial" w:hAnsi="Arial" w:cs="Arial"/>
          <w:shd w:val="clear" w:color="auto" w:fill="FFFFFF"/>
        </w:rPr>
        <w:t>Sar</w:t>
      </w:r>
      <w:proofErr w:type="spellEnd"/>
      <w:r w:rsidRPr="00053242">
        <w:rPr>
          <w:rStyle w:val="authors"/>
          <w:rFonts w:ascii="Arial" w:hAnsi="Arial" w:cs="Arial"/>
          <w:shd w:val="clear" w:color="auto" w:fill="FFFFFF"/>
        </w:rPr>
        <w:t xml:space="preserve">, T., B. C. Stark, and M. Y. </w:t>
      </w:r>
      <w:proofErr w:type="spellStart"/>
      <w:r w:rsidRPr="00053242">
        <w:rPr>
          <w:rStyle w:val="authors"/>
          <w:rFonts w:ascii="Arial" w:hAnsi="Arial" w:cs="Arial"/>
          <w:shd w:val="clear" w:color="auto" w:fill="FFFFFF"/>
        </w:rPr>
        <w:t>Akbas</w:t>
      </w:r>
      <w:proofErr w:type="spellEnd"/>
      <w:r w:rsidRPr="00053242">
        <w:rPr>
          <w:rFonts w:ascii="Arial" w:hAnsi="Arial" w:cs="Arial"/>
          <w:shd w:val="clear" w:color="auto" w:fill="FFFFFF"/>
        </w:rPr>
        <w:t>  </w:t>
      </w:r>
      <w:r w:rsidRPr="00053242">
        <w:rPr>
          <w:rStyle w:val="arttitle"/>
          <w:rFonts w:ascii="Arial" w:hAnsi="Arial" w:cs="Arial"/>
          <w:shd w:val="clear" w:color="auto" w:fill="FFFFFF"/>
        </w:rPr>
        <w:t>Bioethanol production from whey powder by immobilized </w:t>
      </w:r>
      <w:r w:rsidRPr="00053242">
        <w:rPr>
          <w:rStyle w:val="arttitle"/>
          <w:rFonts w:ascii="Arial" w:hAnsi="Arial" w:cs="Arial"/>
          <w:i/>
          <w:iCs/>
          <w:shd w:val="clear" w:color="auto" w:fill="FFFFFF"/>
        </w:rPr>
        <w:t>E. coli</w:t>
      </w:r>
      <w:r w:rsidRPr="00053242">
        <w:rPr>
          <w:rStyle w:val="arttitle"/>
          <w:rFonts w:ascii="Arial" w:hAnsi="Arial" w:cs="Arial"/>
          <w:shd w:val="clear" w:color="auto" w:fill="FFFFFF"/>
        </w:rPr>
        <w:t> expressing </w:t>
      </w:r>
      <w:proofErr w:type="spellStart"/>
      <w:r w:rsidRPr="00053242">
        <w:rPr>
          <w:rStyle w:val="arttitle"/>
          <w:rFonts w:ascii="Arial" w:hAnsi="Arial" w:cs="Arial"/>
          <w:i/>
          <w:iCs/>
          <w:shd w:val="clear" w:color="auto" w:fill="FFFFFF"/>
        </w:rPr>
        <w:t>Vitreoscilla</w:t>
      </w:r>
      <w:proofErr w:type="spellEnd"/>
      <w:r w:rsidRPr="00053242">
        <w:rPr>
          <w:rStyle w:val="arttitle"/>
          <w:rFonts w:ascii="Arial" w:hAnsi="Arial" w:cs="Arial"/>
          <w:shd w:val="clear" w:color="auto" w:fill="FFFFFF"/>
        </w:rPr>
        <w:t> hemoglobin: optimization of sugar concentration and inoculum size,</w:t>
      </w:r>
      <w:r w:rsidRPr="00053242">
        <w:rPr>
          <w:rFonts w:ascii="Arial" w:hAnsi="Arial" w:cs="Arial"/>
          <w:shd w:val="clear" w:color="auto" w:fill="FFFFFF"/>
        </w:rPr>
        <w:t> </w:t>
      </w:r>
      <w:r w:rsidRPr="00053242">
        <w:rPr>
          <w:rStyle w:val="serialtitle"/>
          <w:rFonts w:ascii="Arial" w:hAnsi="Arial" w:cs="Arial"/>
          <w:shd w:val="clear" w:color="auto" w:fill="FFFFFF"/>
        </w:rPr>
        <w:t>Biofuels 12:1103-1108</w:t>
      </w:r>
      <w:r w:rsidRPr="00053242">
        <w:rPr>
          <w:rFonts w:ascii="Arial" w:hAnsi="Arial" w:cs="Arial"/>
          <w:shd w:val="clear" w:color="auto" w:fill="FFFFFF"/>
        </w:rPr>
        <w:t> </w:t>
      </w:r>
      <w:r w:rsidRPr="00053242">
        <w:rPr>
          <w:rStyle w:val="Date1"/>
          <w:rFonts w:ascii="Arial" w:hAnsi="Arial" w:cs="Arial"/>
          <w:shd w:val="clear" w:color="auto" w:fill="FFFFFF"/>
        </w:rPr>
        <w:t>(2021).</w:t>
      </w:r>
      <w:r w:rsidRPr="00053242">
        <w:rPr>
          <w:rStyle w:val="doilink"/>
          <w:rFonts w:ascii="Arial" w:hAnsi="Arial" w:cs="Arial"/>
          <w:shd w:val="clear" w:color="auto" w:fill="FFFFFF"/>
        </w:rPr>
        <w:t xml:space="preserve"> </w:t>
      </w:r>
    </w:p>
    <w:p w:rsidR="00053242" w:rsidRPr="00053242" w:rsidRDefault="00053242" w:rsidP="00053242">
      <w:pPr>
        <w:shd w:val="clear" w:color="auto" w:fill="FFFFFF"/>
        <w:overflowPunct/>
        <w:autoSpaceDE/>
        <w:autoSpaceDN/>
        <w:adjustRightInd/>
        <w:spacing w:before="100" w:beforeAutospacing="1" w:after="120"/>
        <w:textAlignment w:val="auto"/>
        <w:rPr>
          <w:rFonts w:ascii="Arial" w:hAnsi="Arial" w:cs="Arial"/>
          <w:shd w:val="clear" w:color="auto" w:fill="FFFFFF"/>
        </w:rPr>
      </w:pPr>
      <w:proofErr w:type="spellStart"/>
      <w:r w:rsidRPr="00053242">
        <w:rPr>
          <w:rFonts w:ascii="Arial" w:hAnsi="Arial" w:cs="Arial"/>
          <w:shd w:val="clear" w:color="auto" w:fill="FFFFFF"/>
        </w:rPr>
        <w:t>Sar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, T., Y. Chen,  Y. Bai, B. Liu, P. Agarwal, B. Stark, and M. </w:t>
      </w:r>
      <w:proofErr w:type="spellStart"/>
      <w:r w:rsidRPr="00053242">
        <w:rPr>
          <w:rFonts w:ascii="Arial" w:hAnsi="Arial" w:cs="Arial"/>
          <w:shd w:val="clear" w:color="auto" w:fill="FFFFFF"/>
        </w:rPr>
        <w:t>Akbas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, “Combining co-culturing of </w:t>
      </w:r>
      <w:proofErr w:type="spellStart"/>
      <w:r w:rsidRPr="00053242">
        <w:rPr>
          <w:rFonts w:ascii="Arial" w:hAnsi="Arial" w:cs="Arial"/>
          <w:i/>
          <w:shd w:val="clear" w:color="auto" w:fill="FFFFFF"/>
        </w:rPr>
        <w:t>Paenibacillus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 strains and </w:t>
      </w:r>
      <w:proofErr w:type="spellStart"/>
      <w:r w:rsidRPr="00053242">
        <w:rPr>
          <w:rFonts w:ascii="Arial" w:hAnsi="Arial" w:cs="Arial"/>
          <w:i/>
          <w:shd w:val="clear" w:color="auto" w:fill="FFFFFF"/>
        </w:rPr>
        <w:t>Vitreoscilla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 hemoglobin expression as a strategy to improve </w:t>
      </w:r>
      <w:proofErr w:type="spellStart"/>
      <w:r w:rsidRPr="00053242">
        <w:rPr>
          <w:rFonts w:ascii="Arial" w:hAnsi="Arial" w:cs="Arial"/>
          <w:shd w:val="clear" w:color="auto" w:fill="FFFFFF"/>
        </w:rPr>
        <w:t>biodesulfurization</w:t>
      </w:r>
      <w:proofErr w:type="spellEnd"/>
      <w:r w:rsidRPr="00053242">
        <w:rPr>
          <w:rFonts w:ascii="Arial" w:hAnsi="Arial" w:cs="Arial"/>
          <w:shd w:val="clear" w:color="auto" w:fill="FFFFFF"/>
        </w:rPr>
        <w:t xml:space="preserve">,” Lett. Appl. </w:t>
      </w:r>
      <w:proofErr w:type="spellStart"/>
      <w:r w:rsidRPr="00053242">
        <w:rPr>
          <w:rFonts w:ascii="Arial" w:hAnsi="Arial" w:cs="Arial"/>
          <w:shd w:val="clear" w:color="auto" w:fill="FFFFFF"/>
        </w:rPr>
        <w:t>Microbiol</w:t>
      </w:r>
      <w:proofErr w:type="spellEnd"/>
      <w:r w:rsidRPr="00053242">
        <w:rPr>
          <w:rFonts w:ascii="Arial" w:hAnsi="Arial" w:cs="Arial"/>
          <w:shd w:val="clear" w:color="auto" w:fill="FFFFFF"/>
        </w:rPr>
        <w:t>. 72:484-494 (2021).</w:t>
      </w:r>
    </w:p>
    <w:p w:rsidR="00053242" w:rsidRPr="00053242" w:rsidRDefault="00053242" w:rsidP="00053242">
      <w:pPr>
        <w:pStyle w:val="MDPI61Citation"/>
        <w:spacing w:before="240" w:line="240" w:lineRule="auto"/>
        <w:rPr>
          <w:rFonts w:ascii="Arial" w:hAnsi="Arial"/>
          <w:sz w:val="20"/>
          <w:szCs w:val="20"/>
        </w:rPr>
      </w:pPr>
      <w:r w:rsidRPr="00053242">
        <w:rPr>
          <w:rFonts w:ascii="Arial" w:hAnsi="Arial"/>
          <w:sz w:val="20"/>
          <w:szCs w:val="20"/>
        </w:rPr>
        <w:t xml:space="preserve">Webster, D.A., K. L. </w:t>
      </w:r>
      <w:proofErr w:type="spellStart"/>
      <w:r w:rsidRPr="00053242">
        <w:rPr>
          <w:rFonts w:ascii="Arial" w:hAnsi="Arial"/>
          <w:sz w:val="20"/>
          <w:szCs w:val="20"/>
        </w:rPr>
        <w:t>Dikshit</w:t>
      </w:r>
      <w:proofErr w:type="spellEnd"/>
      <w:r w:rsidRPr="00053242">
        <w:rPr>
          <w:rFonts w:ascii="Arial" w:hAnsi="Arial"/>
          <w:sz w:val="20"/>
          <w:szCs w:val="20"/>
        </w:rPr>
        <w:t xml:space="preserve">, K. R. </w:t>
      </w:r>
      <w:proofErr w:type="spellStart"/>
      <w:r w:rsidRPr="00053242">
        <w:rPr>
          <w:rFonts w:ascii="Arial" w:hAnsi="Arial"/>
          <w:sz w:val="20"/>
          <w:szCs w:val="20"/>
        </w:rPr>
        <w:t>Pagilla</w:t>
      </w:r>
      <w:proofErr w:type="spellEnd"/>
      <w:r w:rsidRPr="00053242">
        <w:rPr>
          <w:rFonts w:ascii="Arial" w:hAnsi="Arial"/>
          <w:sz w:val="20"/>
          <w:szCs w:val="20"/>
        </w:rPr>
        <w:t xml:space="preserve">, and B. C. Stark, “The discovery of </w:t>
      </w:r>
      <w:proofErr w:type="spellStart"/>
      <w:r w:rsidRPr="00053242">
        <w:rPr>
          <w:rFonts w:ascii="Arial" w:hAnsi="Arial"/>
          <w:i/>
          <w:sz w:val="20"/>
          <w:szCs w:val="20"/>
        </w:rPr>
        <w:t>Vitreoscilla</w:t>
      </w:r>
      <w:proofErr w:type="spellEnd"/>
      <w:r w:rsidRPr="00053242">
        <w:rPr>
          <w:rFonts w:ascii="Arial" w:hAnsi="Arial"/>
          <w:sz w:val="20"/>
          <w:szCs w:val="20"/>
        </w:rPr>
        <w:t xml:space="preserve"> hemoglobin and early studies on its biochemical functions, the control of its expression, and its use in practical applications,” Microorganisms</w:t>
      </w:r>
      <w:r w:rsidRPr="00053242">
        <w:rPr>
          <w:rFonts w:ascii="Arial" w:hAnsi="Arial"/>
          <w:i/>
          <w:sz w:val="20"/>
          <w:szCs w:val="20"/>
        </w:rPr>
        <w:t xml:space="preserve"> </w:t>
      </w:r>
      <w:r w:rsidRPr="00053242">
        <w:rPr>
          <w:rFonts w:ascii="Arial" w:hAnsi="Arial"/>
          <w:sz w:val="20"/>
          <w:szCs w:val="20"/>
        </w:rPr>
        <w:t xml:space="preserve">9:1637-1644 (2021). </w:t>
      </w:r>
    </w:p>
    <w:p w:rsidR="00053242" w:rsidRPr="00053242" w:rsidRDefault="00053242" w:rsidP="00053242">
      <w:pPr>
        <w:pStyle w:val="WW-NormalWeb1"/>
        <w:snapToGrid w:val="0"/>
        <w:spacing w:before="0"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:rsidR="00053242" w:rsidRPr="00053242" w:rsidRDefault="00053242" w:rsidP="00053242">
      <w:pPr>
        <w:pStyle w:val="WW-NormalWeb1"/>
        <w:snapToGrid w:val="0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</w:pPr>
      <w:bookmarkStart w:id="1" w:name="_Hlk87128568"/>
      <w:proofErr w:type="spellStart"/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Sar</w:t>
      </w:r>
      <w:proofErr w:type="spellEnd"/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, T.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M. Ozturk, B.C. 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 xml:space="preserve">Stark, 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and 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 xml:space="preserve">M. Y. </w:t>
      </w:r>
      <w:proofErr w:type="spellStart"/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Akbas</w:t>
      </w:r>
      <w:proofErr w:type="spellEnd"/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 xml:space="preserve">, </w:t>
      </w:r>
      <w:r w:rsidRPr="00053242">
        <w:rPr>
          <w:rFonts w:ascii="Arial" w:hAnsi="Arial" w:cs="Arial"/>
          <w:bCs/>
          <w:shd w:val="clear" w:color="auto" w:fill="FFFFFF"/>
          <w:lang w:eastAsia="tr-TR"/>
        </w:rPr>
        <w:t>“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  <w:t xml:space="preserve">Improvement in desulfurization of dibenzothiophene and dibenzothiophene sulfone by </w:t>
      </w:r>
      <w:r w:rsidRPr="00053242">
        <w:rPr>
          <w:rFonts w:ascii="Arial" w:hAnsi="Arial" w:cs="Arial"/>
          <w:bCs/>
          <w:i/>
          <w:iCs/>
          <w:sz w:val="20"/>
          <w:szCs w:val="20"/>
          <w:lang w:eastAsia="tr-TR"/>
        </w:rPr>
        <w:t>Paenibacillus</w:t>
      </w:r>
      <w:r w:rsidRPr="00053242">
        <w:rPr>
          <w:rFonts w:ascii="Arial" w:hAnsi="Arial" w:cs="Arial"/>
          <w:bCs/>
          <w:sz w:val="20"/>
          <w:szCs w:val="20"/>
          <w:lang w:eastAsia="tr-TR"/>
        </w:rPr>
        <w:t xml:space="preserve"> strains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  <w:t xml:space="preserve"> using immobilization or nanoparticle coating</w:t>
      </w:r>
      <w:r w:rsidRPr="00053242">
        <w:rPr>
          <w:rFonts w:ascii="Arial" w:hAnsi="Arial" w:cs="Arial"/>
          <w:bCs/>
          <w:shd w:val="clear" w:color="auto" w:fill="FFFFFF"/>
          <w:lang w:eastAsia="tr-TR"/>
        </w:rPr>
        <w:t xml:space="preserve">,” 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  <w:t xml:space="preserve">J. Appl. Microbiol. 133:1040-1051 (2022). </w:t>
      </w:r>
    </w:p>
    <w:p w:rsidR="00053242" w:rsidRPr="00053242" w:rsidRDefault="00053242" w:rsidP="00053242">
      <w:pPr>
        <w:pStyle w:val="WW-NormalWeb1"/>
        <w:snapToGrid w:val="0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</w:pPr>
    </w:p>
    <w:p w:rsidR="00053242" w:rsidRPr="00053242" w:rsidRDefault="00053242" w:rsidP="00053242">
      <w:pPr>
        <w:pStyle w:val="WW-NormalWeb1"/>
        <w:snapToGrid w:val="0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</w:pP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  <w:t>Stark, B. C. “</w:t>
      </w:r>
      <w:r w:rsidRPr="00053242">
        <w:rPr>
          <w:rFonts w:ascii="Arial" w:hAnsi="Arial" w:cs="Arial"/>
          <w:sz w:val="20"/>
          <w:szCs w:val="20"/>
        </w:rPr>
        <w:t xml:space="preserve">A short history of the discovery of the essential RNA component of RNase P,” 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  <w:t xml:space="preserve">in: Gopalan, V. “Tribute to Sidney Altman,” RNA </w:t>
      </w:r>
      <w:r w:rsidR="0057746E"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  <w:t xml:space="preserve">28:1398-1400 </w:t>
      </w:r>
      <w:r w:rsidRPr="00053242">
        <w:rPr>
          <w:rFonts w:ascii="Arial" w:hAnsi="Arial" w:cs="Arial"/>
          <w:bCs/>
          <w:sz w:val="20"/>
          <w:szCs w:val="20"/>
          <w:shd w:val="clear" w:color="auto" w:fill="FFFFFF"/>
          <w:lang w:eastAsia="tr-TR"/>
        </w:rPr>
        <w:t xml:space="preserve">(2022). </w:t>
      </w:r>
    </w:p>
    <w:bookmarkEnd w:id="1"/>
    <w:p w:rsidR="00053242" w:rsidRPr="00053242" w:rsidRDefault="00053242" w:rsidP="00053242">
      <w:pPr>
        <w:pStyle w:val="MDPI61Citation"/>
        <w:spacing w:before="240" w:line="240" w:lineRule="auto"/>
      </w:pPr>
    </w:p>
    <w:p w:rsidR="00930657" w:rsidRPr="00053242" w:rsidRDefault="00451B7A"/>
    <w:sectPr w:rsidR="00930657" w:rsidRPr="0005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2"/>
    <w:rsid w:val="00053242"/>
    <w:rsid w:val="00103E9E"/>
    <w:rsid w:val="00451B7A"/>
    <w:rsid w:val="0057746E"/>
    <w:rsid w:val="006462C1"/>
    <w:rsid w:val="00A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28ED-672D-4CFA-92B7-BF4F4AE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3242"/>
    <w:rPr>
      <w:color w:val="0000FF"/>
      <w:u w:val="single"/>
    </w:rPr>
  </w:style>
  <w:style w:type="character" w:customStyle="1" w:styleId="authors">
    <w:name w:val="authors"/>
    <w:rsid w:val="00053242"/>
  </w:style>
  <w:style w:type="character" w:customStyle="1" w:styleId="Date1">
    <w:name w:val="Date1"/>
    <w:rsid w:val="00053242"/>
  </w:style>
  <w:style w:type="character" w:customStyle="1" w:styleId="arttitle">
    <w:name w:val="art_title"/>
    <w:rsid w:val="00053242"/>
  </w:style>
  <w:style w:type="character" w:customStyle="1" w:styleId="serialtitle">
    <w:name w:val="serial_title"/>
    <w:rsid w:val="00053242"/>
  </w:style>
  <w:style w:type="character" w:customStyle="1" w:styleId="doilink">
    <w:name w:val="doi_link"/>
    <w:rsid w:val="00053242"/>
  </w:style>
  <w:style w:type="paragraph" w:customStyle="1" w:styleId="MDPI61Citation">
    <w:name w:val="MDPI_6.1_Citation"/>
    <w:qFormat/>
    <w:rsid w:val="00053242"/>
    <w:pPr>
      <w:adjustRightInd w:val="0"/>
      <w:snapToGrid w:val="0"/>
      <w:spacing w:after="0" w:line="240" w:lineRule="atLeast"/>
      <w:ind w:right="113"/>
    </w:pPr>
    <w:rPr>
      <w:rFonts w:ascii="Palatino Linotype" w:eastAsia="Calibri" w:hAnsi="Palatino Linotype" w:cs="Arial"/>
      <w:sz w:val="14"/>
    </w:rPr>
  </w:style>
  <w:style w:type="paragraph" w:customStyle="1" w:styleId="WW-NormalWeb1">
    <w:name w:val="WW-Normal (Web)1"/>
    <w:basedOn w:val="Normal"/>
    <w:link w:val="WW-NormalWeb1Char"/>
    <w:rsid w:val="00053242"/>
    <w:pPr>
      <w:overflowPunct/>
      <w:autoSpaceDE/>
      <w:autoSpaceDN/>
      <w:adjustRightInd/>
      <w:spacing w:before="280" w:after="119"/>
      <w:textAlignment w:val="auto"/>
    </w:pPr>
    <w:rPr>
      <w:rFonts w:ascii="Times New Roman" w:hAnsi="Times New Roman"/>
      <w:sz w:val="24"/>
      <w:szCs w:val="24"/>
      <w:lang w:val="tr-TR" w:eastAsia="ar-SA"/>
    </w:rPr>
  </w:style>
  <w:style w:type="character" w:customStyle="1" w:styleId="WW-NormalWeb1Char">
    <w:name w:val="WW-Normal (Web)1 Char"/>
    <w:link w:val="WW-NormalWeb1"/>
    <w:locked/>
    <w:rsid w:val="00053242"/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cit-sep">
    <w:name w:val="cit-sep"/>
    <w:rsid w:val="0005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28/MRA.00922-18" TargetMode="External"/><Relationship Id="rId4" Type="http://schemas.openxmlformats.org/officeDocument/2006/relationships/hyperlink" Target="http://dx.doi.org/10.1080/21655979.2016.1218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Technology Services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Tara Butterfield</cp:lastModifiedBy>
  <cp:revision>2</cp:revision>
  <dcterms:created xsi:type="dcterms:W3CDTF">2022-11-04T15:19:00Z</dcterms:created>
  <dcterms:modified xsi:type="dcterms:W3CDTF">2022-11-04T15:19:00Z</dcterms:modified>
</cp:coreProperties>
</file>